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3"/>
        </w:tabs>
        <w:spacing w:after="100" w:afterAutospacing="1" w:line="560" w:lineRule="exact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附件</w:t>
      </w:r>
      <w:r>
        <w:rPr>
          <w:rFonts w:eastAsia="仿宋_GB2312"/>
          <w:color w:val="auto"/>
          <w:sz w:val="32"/>
          <w:szCs w:val="32"/>
          <w:lang w:eastAsia="zh-CN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：</w:t>
      </w:r>
    </w:p>
    <w:p>
      <w:pPr>
        <w:spacing w:after="100" w:afterAutospacing="1" w:line="560" w:lineRule="exact"/>
        <w:jc w:val="center"/>
        <w:rPr>
          <w:rFonts w:eastAsia="方正小标宋简体"/>
          <w:b/>
          <w:color w:val="auto"/>
          <w:sz w:val="36"/>
          <w:szCs w:val="36"/>
          <w:lang w:eastAsia="zh-CN"/>
        </w:rPr>
      </w:pPr>
      <w:r>
        <w:rPr>
          <w:rFonts w:hint="eastAsia" w:eastAsia="方正小标宋简体"/>
          <w:b/>
          <w:color w:val="auto"/>
          <w:sz w:val="36"/>
          <w:szCs w:val="36"/>
          <w:lang w:eastAsia="zh-CN"/>
        </w:rPr>
        <w:t>E</w:t>
      </w:r>
      <w:r>
        <w:rPr>
          <w:rFonts w:eastAsia="方正小标宋简体"/>
          <w:b/>
          <w:color w:val="auto"/>
          <w:sz w:val="36"/>
          <w:szCs w:val="36"/>
          <w:lang w:eastAsia="zh-CN"/>
        </w:rPr>
        <w:t>CSP</w:t>
      </w:r>
      <w:r>
        <w:rPr>
          <w:rFonts w:hint="eastAsia" w:eastAsia="方正小标宋简体"/>
          <w:b/>
          <w:color w:val="auto"/>
          <w:sz w:val="36"/>
          <w:szCs w:val="36"/>
          <w:lang w:eastAsia="zh-CN"/>
        </w:rPr>
        <w:t>培训课程大纲</w:t>
      </w:r>
    </w:p>
    <w:p>
      <w:pPr>
        <w:pStyle w:val="5"/>
        <w:numPr>
          <w:ilvl w:val="0"/>
          <w:numId w:val="1"/>
        </w:numPr>
        <w:tabs>
          <w:tab w:val="left" w:pos="1233"/>
        </w:tabs>
        <w:spacing w:line="560" w:lineRule="exact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en-US"/>
        </w:rPr>
        <w:t>ECSP-M管理班培训课程</w:t>
      </w:r>
    </w:p>
    <w:tbl>
      <w:tblPr>
        <w:tblStyle w:val="3"/>
        <w:tblW w:w="9285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41"/>
        <w:gridCol w:w="1771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时间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培训主题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第1天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网络安全形势与网络安全法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网络安全形势与政策要求（1小时）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网络安全法解读（2小时）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14:00-17:00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教育系统网络安全工作要求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教育系统网络安全政策要求（1小时）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教育系统网络安全责任制要求及实践建议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重要时期网络安全保障工作要求（1小时）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第2天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教育系统网络安全等级保护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网络安全等级保护2.0标准及要求（1.5小时）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教育系统等级保护定级要求及测评实践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14:00-17:00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教育系统等级保护体系实践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教育系统等级保护技术防护体系及实践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（2小时）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教育系统等级保护管理防护体系及实践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第3天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安全运维、监测预警及应急处置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安全运维及供应商安全管理（1小时）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教育系统安全监测预警与通报（1小时）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教育系统网络安全应急预案及应急处置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14:00-17:00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个人信息与数据安全保护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教育系统数据安全管理建议（1小时）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个人信息保护要求（1小时）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数据安全防护实践建议（1小时）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第4天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新技术领域安全要求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教育系统移动APP安全（1小时）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教育系统云计算安全（1小时）</w:t>
            </w:r>
          </w:p>
          <w:p>
            <w:pPr>
              <w:spacing w:line="56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教育系统物联网安全（1小时）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14:00-16:00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考试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考试（2小时）</w:t>
            </w:r>
          </w:p>
        </w:tc>
      </w:tr>
    </w:tbl>
    <w:p>
      <w:pPr>
        <w:pStyle w:val="5"/>
        <w:tabs>
          <w:tab w:val="left" w:pos="1233"/>
        </w:tabs>
        <w:spacing w:line="560" w:lineRule="exact"/>
        <w:ind w:firstLine="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en-US"/>
        </w:rPr>
      </w:pPr>
    </w:p>
    <w:p>
      <w:pPr>
        <w:pStyle w:val="5"/>
        <w:numPr>
          <w:ilvl w:val="0"/>
          <w:numId w:val="1"/>
        </w:numPr>
        <w:tabs>
          <w:tab w:val="left" w:pos="1233"/>
        </w:tabs>
        <w:spacing w:line="560" w:lineRule="exact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en-US"/>
        </w:rPr>
        <w:t>ECSP-T技术班线下培训课程</w:t>
      </w:r>
    </w:p>
    <w:tbl>
      <w:tblPr>
        <w:tblStyle w:val="3"/>
        <w:tblW w:w="930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60"/>
        <w:gridCol w:w="1630"/>
        <w:gridCol w:w="5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时间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培训主题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第1天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网络安全形势与网络安全法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网络安全形势与政策要求（1小时）</w:t>
            </w:r>
          </w:p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网络安全法解读（2小时）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14:00-17:00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教育系统网络安全工作要求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教育系统网络安全政策要求（1小时）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教育系统网络安全责任制要求及实践建议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（1小时）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重要时期网络安全保障工作要求（1小时）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第2天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教育系统面临安全威胁及攻击路径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教育系统常见网络安全攻击（2小时）</w:t>
            </w:r>
          </w:p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等级保护2.0安全技术防护体系（1小时）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14:00-17:00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网络安全防护技术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网络边界防护及访问控制（0.5小时）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主机及终端防护（1小时）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应用系统防护（1小时）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数据安全防护（0.5小时）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第3天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网络安全监测技术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网络流量监测分析（1小时）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日志监测分析技术（1小时）</w:t>
            </w:r>
          </w:p>
          <w:p>
            <w:pPr>
              <w:spacing w:line="360" w:lineRule="auto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网络安全态势感知技术（1小时）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14:00-17:00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网络安全检测评估技术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资产管理（1小时）</w:t>
            </w:r>
          </w:p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配置核查（1小时）</w:t>
            </w:r>
          </w:p>
          <w:p>
            <w:pPr>
              <w:spacing w:line="360" w:lineRule="auto"/>
              <w:jc w:val="both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漏洞扫描及渗透测试（1小时）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第4天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8:30-11:30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  <w:lang w:eastAsia="zh-CN"/>
              </w:rPr>
              <w:t>网络</w:t>
            </w:r>
            <w:r>
              <w:rPr>
                <w:rFonts w:eastAsia="仿宋_GB2312"/>
                <w:color w:val="auto"/>
              </w:rPr>
              <w:t>安全应急处置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教育系统安全监测预警与通报机制（0.5小时）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安全事件应急处置技术（2.5小时）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14:00-16:00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考试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考试（2小时）</w:t>
            </w:r>
          </w:p>
        </w:tc>
      </w:tr>
    </w:tbl>
    <w:p>
      <w:pPr>
        <w:pStyle w:val="5"/>
        <w:tabs>
          <w:tab w:val="left" w:pos="1233"/>
        </w:tabs>
        <w:spacing w:line="560" w:lineRule="exact"/>
        <w:ind w:firstLine="0"/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850" w:h="16783"/>
      <w:pgMar w:top="2098" w:right="1474" w:bottom="1985" w:left="1588" w:header="1202" w:footer="131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873"/>
    <w:multiLevelType w:val="multilevel"/>
    <w:tmpl w:val="697A387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670DD"/>
    <w:rsid w:val="62967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6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2019-10-09T09:17:00Z</dcterms:created>
  <dc:creator>起飞</dc:creator>
  <cp:lastModifiedBy>起飞</cp:lastModifiedBy>
  <dcterms:modified xsi:type="dcterms:W3CDTF">2019-10-09T09:18:28Z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